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4000000">
      <w:pPr>
        <w:pStyle w:val="Style_2"/>
        <w:spacing w:after="0" w:before="0" w:line="240" w:lineRule="auto"/>
        <w:ind w:firstLine="850" w:left="0"/>
        <w:jc w:val="center"/>
        <w:rPr>
          <w:rFonts w:ascii="Times New Roman" w:hAnsi="Times New Roman"/>
          <w:sz w:val="28"/>
        </w:rPr>
      </w:pPr>
      <w:r>
        <w:rPr>
          <w:rFonts w:ascii="Times New Roman" w:hAnsi="Times New Roman"/>
          <w:b w:val="1"/>
          <w:sz w:val="28"/>
        </w:rPr>
        <w:t>Л</w:t>
      </w:r>
      <w:r>
        <w:rPr>
          <w:rFonts w:ascii="Times New Roman" w:hAnsi="Times New Roman"/>
          <w:sz w:val="28"/>
        </w:rPr>
        <w:t>ЬГОТЫ УЧАСТНИКАМ СПЕЦИАЛЬНОЙ ВОЕННОЙ ОПЕРАЦИИ</w:t>
      </w:r>
    </w:p>
    <w:p w14:paraId="05000000">
      <w:pPr>
        <w:pStyle w:val="Style_2"/>
        <w:spacing w:after="0" w:before="0" w:line="240" w:lineRule="auto"/>
        <w:ind w:firstLine="680" w:left="0"/>
        <w:jc w:val="both"/>
        <w:rPr>
          <w:rFonts w:ascii="Times New Roman" w:hAnsi="Times New Roman"/>
          <w:sz w:val="28"/>
        </w:rPr>
      </w:pPr>
      <w:r>
        <w:rPr>
          <w:rFonts w:ascii="Times New Roman" w:hAnsi="Times New Roman"/>
          <w:sz w:val="28"/>
        </w:rPr>
        <w:br/>
      </w:r>
      <w:r>
        <w:rPr>
          <w:rFonts w:ascii="Times New Roman" w:hAnsi="Times New Roman"/>
          <w:sz w:val="28"/>
        </w:rPr>
        <w:tab/>
      </w:r>
      <w:r>
        <w:rPr>
          <w:rFonts w:ascii="Times New Roman" w:hAnsi="Times New Roman"/>
          <w:sz w:val="28"/>
        </w:rPr>
        <w:t>Все участники специальной военной операции имеют право получить статус ветерана боевых действий, на них распространяются льготы, положенные в соответствии с законодательством.</w:t>
      </w:r>
    </w:p>
    <w:p w14:paraId="06000000">
      <w:pPr>
        <w:pStyle w:val="Style_2"/>
        <w:spacing w:after="0" w:before="0" w:line="240" w:lineRule="auto"/>
        <w:ind w:firstLine="680" w:left="0"/>
        <w:jc w:val="both"/>
        <w:rPr>
          <w:rFonts w:ascii="Times New Roman" w:hAnsi="Times New Roman"/>
          <w:sz w:val="28"/>
        </w:rPr>
      </w:pPr>
      <w:r>
        <w:rPr>
          <w:rFonts w:ascii="Times New Roman" w:hAnsi="Times New Roman"/>
          <w:sz w:val="28"/>
        </w:rPr>
        <w:t xml:space="preserve">Военным пенсионера, вернувшимся на службу, вне зависимости от должности сохранят повышенную пенсию, пенсионеры смогут выбрать либо возобновление ранее приостановленной пенсии, либо назначение новой по последнему месту службы. </w:t>
      </w:r>
      <w:r>
        <w:rPr>
          <w:rFonts w:ascii="Times New Roman" w:hAnsi="Times New Roman"/>
          <w:sz w:val="28"/>
        </w:rPr>
        <w:t>(Федеральный закон от28.02.2023г. №50-ФЗ)</w:t>
      </w:r>
    </w:p>
    <w:p w14:paraId="07000000">
      <w:pPr>
        <w:pStyle w:val="Style_2"/>
        <w:spacing w:after="0" w:before="0" w:line="240" w:lineRule="auto"/>
        <w:ind w:firstLine="680" w:left="0"/>
        <w:jc w:val="both"/>
        <w:rPr>
          <w:rFonts w:ascii="Times New Roman" w:hAnsi="Times New Roman"/>
          <w:sz w:val="28"/>
        </w:rPr>
      </w:pPr>
      <w:r>
        <w:rPr>
          <w:rFonts w:ascii="Times New Roman" w:hAnsi="Times New Roman"/>
          <w:sz w:val="28"/>
        </w:rPr>
        <w:t>За мобилизованными гражданами сохраняется рабочее место, трудовой договор с ними приостанавливается, а трудовой стаж во время участия в СВО исчисляется в двойном размере. (Трудовой кодекс РФ статья 351.1)</w:t>
      </w:r>
    </w:p>
    <w:p w14:paraId="08000000">
      <w:pPr>
        <w:pStyle w:val="Style_2"/>
        <w:spacing w:after="0" w:before="0" w:line="240" w:lineRule="auto"/>
        <w:ind w:firstLine="680" w:left="0"/>
        <w:jc w:val="both"/>
        <w:rPr>
          <w:rFonts w:ascii="Times New Roman" w:hAnsi="Times New Roman"/>
          <w:sz w:val="28"/>
        </w:rPr>
      </w:pPr>
      <w:r>
        <w:rPr>
          <w:rFonts w:ascii="Times New Roman" w:hAnsi="Times New Roman"/>
          <w:sz w:val="28"/>
        </w:rPr>
        <w:t>Участники Специальной военной операции и члены их семьи имеют право на получение бесплатной юридической помощи в рамках государственной системы бесплатной юридической помощи. (Федеральный закон от 13.06.2023 №225-ФЗ)</w:t>
      </w:r>
    </w:p>
    <w:p w14:paraId="09000000">
      <w:pPr>
        <w:pStyle w:val="Style_2"/>
        <w:spacing w:after="0" w:before="0" w:line="240" w:lineRule="auto"/>
        <w:ind w:firstLine="680" w:left="0"/>
        <w:jc w:val="both"/>
        <w:rPr>
          <w:rFonts w:ascii="Times New Roman" w:hAnsi="Times New Roman"/>
          <w:sz w:val="28"/>
        </w:rPr>
      </w:pPr>
      <w:r>
        <w:rPr>
          <w:rFonts w:ascii="Times New Roman" w:hAnsi="Times New Roman"/>
          <w:sz w:val="28"/>
        </w:rPr>
        <w:t>Военнослужащие, проходящие военную службу по контракту, общая продолжительность военной службы которых составляет 5 лет и более, увольняемые с военной службы по достижении ими предельного возраста пребывания на военной службе, состоянию здоровья, признанные инвалидами боевых действий имеют право пройти обучение по основным программам обучения или дополнительным профессиональным программам без взимания с них платы за обучение. (Федеральный закон от 19.12.2023 №603-ФЗ)</w:t>
      </w:r>
    </w:p>
    <w:p w14:paraId="0A000000">
      <w:pPr>
        <w:pStyle w:val="Style_2"/>
        <w:spacing w:after="0" w:before="0" w:line="240" w:lineRule="auto"/>
        <w:ind w:firstLine="680" w:left="0"/>
        <w:jc w:val="both"/>
        <w:rPr>
          <w:rFonts w:ascii="Times New Roman" w:hAnsi="Times New Roman"/>
          <w:sz w:val="28"/>
        </w:rPr>
      </w:pPr>
      <w:r>
        <w:rPr>
          <w:rFonts w:ascii="Times New Roman" w:hAnsi="Times New Roman"/>
          <w:sz w:val="28"/>
        </w:rPr>
        <w:t>В случае гибели или ранения военнослужащего при выполнении задач в период проведения специальной военной операции, либо позднее этого периода, но вследствие увечья или заболевания, полученных при в</w:t>
      </w:r>
      <w:r>
        <w:rPr>
          <w:rFonts w:ascii="Times New Roman" w:hAnsi="Times New Roman"/>
          <w:sz w:val="28"/>
        </w:rPr>
        <w:t>ыполнении задач в период проведения специальной военной операции обязательства по кредитному договору прекращаются. (Федеральный закон от 07.10.2022 №377-ФЗ)</w:t>
      </w:r>
    </w:p>
    <w:p w14:paraId="0B000000">
      <w:pPr>
        <w:pStyle w:val="Style_2"/>
        <w:spacing w:after="0" w:before="0" w:line="240" w:lineRule="auto"/>
        <w:ind w:firstLine="680" w:left="0"/>
        <w:jc w:val="both"/>
        <w:rPr>
          <w:rFonts w:ascii="Times New Roman" w:hAnsi="Times New Roman"/>
          <w:sz w:val="28"/>
        </w:rPr>
      </w:pPr>
      <w:r>
        <w:rPr>
          <w:rFonts w:ascii="Times New Roman" w:hAnsi="Times New Roman"/>
          <w:sz w:val="28"/>
        </w:rPr>
        <w:t>Ветераны боевых действий, проходившие военную службу в Вооруженных Силах Российской Федерации, при условии их участия в СВО, имеют возможность поступления в ВУЗы за счёт средств бюджетных ассигнований федерального бюджета. (Федеральный закон от 08.08.2024 №314-ФЗ)</w:t>
      </w:r>
    </w:p>
    <w:p w14:paraId="0C000000">
      <w:pPr>
        <w:pStyle w:val="Style_2"/>
        <w:spacing w:after="0" w:before="0" w:line="240" w:lineRule="auto"/>
        <w:ind w:firstLine="680" w:left="0"/>
        <w:jc w:val="both"/>
        <w:rPr>
          <w:rFonts w:ascii="Times New Roman" w:hAnsi="Times New Roman"/>
          <w:sz w:val="28"/>
        </w:rPr>
      </w:pPr>
      <w:r>
        <w:rPr>
          <w:rFonts w:ascii="Times New Roman" w:hAnsi="Times New Roman"/>
          <w:sz w:val="28"/>
        </w:rPr>
        <w:t>Участники специальной военной операции освобождены от начисления пеней за несвоевременное внесение платы за жилое помещение и коммунальные услуги. (Федеральный закон от 13.06.2023 №229-ФЗ)</w:t>
      </w:r>
    </w:p>
    <w:p w14:paraId="0D000000">
      <w:pPr>
        <w:pStyle w:val="Style_2"/>
        <w:spacing w:after="0" w:before="0" w:line="240" w:lineRule="auto"/>
        <w:ind w:firstLine="680" w:left="0"/>
        <w:jc w:val="both"/>
        <w:rPr>
          <w:rFonts w:ascii="Times New Roman" w:hAnsi="Times New Roman"/>
          <w:sz w:val="28"/>
        </w:rPr>
      </w:pPr>
      <w:r>
        <w:rPr>
          <w:rFonts w:ascii="Times New Roman" w:hAnsi="Times New Roman"/>
          <w:sz w:val="28"/>
        </w:rPr>
        <w:t>Исполнительно производство в отношении лиц, принимающих участие в специальной военной операции приостанавливается. (Федеральный закон от 02.10.2007 №229-ФЗ, федеральный закон от 23.11.2024 №391-ФЗ)</w:t>
      </w:r>
    </w:p>
    <w:p w14:paraId="0E000000">
      <w:pPr>
        <w:pStyle w:val="Style_2"/>
        <w:spacing w:after="0" w:before="0" w:line="240" w:lineRule="auto"/>
        <w:ind w:firstLine="680" w:left="0"/>
        <w:jc w:val="both"/>
        <w:rPr>
          <w:rFonts w:ascii="Times New Roman" w:hAnsi="Times New Roman"/>
          <w:sz w:val="28"/>
        </w:rPr>
      </w:pPr>
    </w:p>
    <w:sectPr>
      <w:headerReference r:id="rId1" w:type="default"/>
      <w:pgSz w:h="16838" w:orient="portrait" w:w="11906"/>
      <w:pgMar w:bottom="1134" w:footer="0" w:gutter="0" w:header="0" w:left="1418"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pPr>
  </w:p>
  <w:p w14:paraId="02000000">
    <w:pPr>
      <w:pStyle w:val="Style_1"/>
      <w:ind/>
      <w:jc w:val="center"/>
    </w:pPr>
    <w:r>
      <w:fldChar w:fldCharType="begin"/>
    </w:r>
    <w:r>
      <w:instrText xml:space="preserve">PAGE </w:instrText>
    </w:r>
    <w:r>
      <w:fldChar w:fldCharType="separate"/>
    </w:r>
    <w:r>
      <w:t xml:space="preserve"> </w:t>
    </w:r>
    <w:r>
      <w:fldChar w:fldCharType="end"/>
    </w:r>
  </w:p>
  <w:p w14:paraId="03000000">
    <w:pPr>
      <w:pStyle w:val="Style_1"/>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pPr>
      <w:widowControl w:val="1"/>
      <w:spacing w:after="160" w:line="264" w:lineRule="auto"/>
      <w:ind w:firstLine="0" w:left="0" w:right="0"/>
      <w:jc w:val="left"/>
    </w:pPr>
    <w:rPr>
      <w:rFonts w:ascii="Calibri" w:hAnsi="Calibri"/>
      <w:sz w:val="22"/>
    </w:rPr>
  </w:style>
  <w:style w:default="1" w:styleId="Style_3_ch" w:type="character">
    <w:name w:val="Normal"/>
    <w:link w:val="Style_3"/>
    <w:rPr>
      <w:rFonts w:ascii="Calibri" w:hAnsi="Calibri"/>
      <w:sz w:val="22"/>
    </w:rPr>
  </w:style>
  <w:style w:styleId="Style_4" w:type="paragraph">
    <w:name w:val="toc 2"/>
    <w:next w:val="Style_3"/>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5" w:type="paragraph">
    <w:name w:val="toc 4"/>
    <w:next w:val="Style_3"/>
    <w:link w:val="Style_5_ch"/>
    <w:uiPriority w:val="39"/>
    <w:pPr>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toc 6"/>
    <w:next w:val="Style_3"/>
    <w:link w:val="Style_6_ch"/>
    <w:uiPriority w:val="39"/>
    <w:pPr>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3"/>
    <w:link w:val="Style_7_ch"/>
    <w:uiPriority w:val="39"/>
    <w:pPr>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ConsPlusNonformat"/>
    <w:link w:val="Style_8_ch"/>
    <w:pPr>
      <w:widowControl w:val="0"/>
      <w:ind w:firstLine="0" w:left="0" w:right="0"/>
      <w:jc w:val="left"/>
    </w:pPr>
    <w:rPr>
      <w:rFonts w:ascii="Courier New" w:hAnsi="Courier New"/>
      <w:sz w:val="20"/>
    </w:rPr>
  </w:style>
  <w:style w:styleId="Style_8_ch" w:type="character">
    <w:name w:val="ConsPlusNonformat"/>
    <w:link w:val="Style_8"/>
    <w:rPr>
      <w:rFonts w:ascii="Courier New" w:hAnsi="Courier New"/>
      <w:sz w:val="20"/>
    </w:rPr>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3"/>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11" w:type="paragraph">
    <w:name w:val="footer"/>
    <w:basedOn w:val="Style_3"/>
    <w:link w:val="Style_11_ch"/>
    <w:pPr>
      <w:tabs>
        <w:tab w:leader="none" w:pos="4677" w:val="center"/>
        <w:tab w:leader="none" w:pos="9355" w:val="right"/>
      </w:tabs>
      <w:ind/>
      <w:jc w:val="left"/>
    </w:pPr>
  </w:style>
  <w:style w:styleId="Style_11_ch" w:type="character">
    <w:name w:val="footer"/>
    <w:basedOn w:val="Style_3_ch"/>
    <w:link w:val="Style_11"/>
  </w:style>
  <w:style w:styleId="Style_12" w:type="paragraph">
    <w:name w:val="Default Paragraph Font"/>
    <w:link w:val="Style_12_ch"/>
  </w:style>
  <w:style w:styleId="Style_12_ch" w:type="character">
    <w:name w:val="Default Paragraph Font"/>
    <w:link w:val="Style_12"/>
  </w:style>
  <w:style w:styleId="Style_2" w:type="paragraph">
    <w:name w:val="Normal (Web)"/>
    <w:basedOn w:val="Style_3"/>
    <w:link w:val="Style_2_ch"/>
    <w:pPr>
      <w:spacing w:afterAutospacing="on" w:beforeAutospacing="on" w:line="240" w:lineRule="auto"/>
      <w:ind/>
      <w:jc w:val="left"/>
    </w:pPr>
    <w:rPr>
      <w:rFonts w:ascii="Times New Roman" w:hAnsi="Times New Roman"/>
      <w:sz w:val="24"/>
    </w:rPr>
  </w:style>
  <w:style w:styleId="Style_2_ch" w:type="character">
    <w:name w:val="Normal (Web)"/>
    <w:basedOn w:val="Style_3_ch"/>
    <w:link w:val="Style_2"/>
    <w:rPr>
      <w:rFonts w:ascii="Times New Roman" w:hAnsi="Times New Roman"/>
      <w:sz w:val="24"/>
    </w:rPr>
  </w:style>
  <w:style w:styleId="Style_13" w:type="paragraph">
    <w:name w:val="ConsPlusDocList"/>
    <w:link w:val="Style_13_ch"/>
    <w:pPr>
      <w:widowControl w:val="0"/>
      <w:ind w:firstLine="0" w:left="0" w:right="0"/>
      <w:jc w:val="left"/>
    </w:pPr>
    <w:rPr>
      <w:rFonts w:ascii="Tahoma" w:hAnsi="Tahoma"/>
      <w:sz w:val="18"/>
    </w:rPr>
  </w:style>
  <w:style w:styleId="Style_13_ch" w:type="character">
    <w:name w:val="ConsPlusDocList"/>
    <w:link w:val="Style_13"/>
    <w:rPr>
      <w:rFonts w:ascii="Tahoma" w:hAnsi="Tahoma"/>
      <w:sz w:val="18"/>
    </w:rPr>
  </w:style>
  <w:style w:styleId="Style_14" w:type="paragraph">
    <w:name w:val="toc 3"/>
    <w:next w:val="Style_3"/>
    <w:link w:val="Style_14_ch"/>
    <w:uiPriority w:val="39"/>
    <w:pPr>
      <w:ind w:firstLine="0" w:left="400"/>
      <w:jc w:val="left"/>
    </w:pPr>
    <w:rPr>
      <w:rFonts w:ascii="XO Thames" w:hAnsi="XO Thames"/>
      <w:sz w:val="28"/>
    </w:rPr>
  </w:style>
  <w:style w:styleId="Style_14_ch" w:type="character">
    <w:name w:val="toc 3"/>
    <w:link w:val="Style_14"/>
    <w:rPr>
      <w:rFonts w:ascii="XO Thames" w:hAnsi="XO Thames"/>
      <w:sz w:val="28"/>
    </w:rPr>
  </w:style>
  <w:style w:styleId="Style_15" w:type="paragraph">
    <w:name w:val="ConsPlusTitle"/>
    <w:link w:val="Style_15_ch"/>
    <w:pPr>
      <w:widowControl w:val="0"/>
      <w:ind w:firstLine="0" w:left="0" w:right="0"/>
      <w:jc w:val="left"/>
    </w:pPr>
    <w:rPr>
      <w:rFonts w:ascii="Arial" w:hAnsi="Arial"/>
      <w:b w:val="1"/>
      <w:sz w:val="24"/>
    </w:rPr>
  </w:style>
  <w:style w:styleId="Style_15_ch" w:type="character">
    <w:name w:val="ConsPlusTitle"/>
    <w:link w:val="Style_15"/>
    <w:rPr>
      <w:rFonts w:ascii="Arial" w:hAnsi="Arial"/>
      <w:b w:val="1"/>
      <w:sz w:val="24"/>
    </w:rPr>
  </w:style>
  <w:style w:styleId="Style_16" w:type="paragraph">
    <w:name w:val="heading 5"/>
    <w:next w:val="Style_3"/>
    <w:link w:val="Style_16_ch"/>
    <w:uiPriority w:val="9"/>
    <w:qFormat/>
    <w:pPr>
      <w:spacing w:after="120" w:before="120"/>
      <w:ind/>
      <w:jc w:val="both"/>
      <w:outlineLvl w:val="4"/>
    </w:pPr>
    <w:rPr>
      <w:rFonts w:ascii="XO Thames" w:hAnsi="XO Thames"/>
      <w:b w:val="1"/>
      <w:sz w:val="22"/>
    </w:rPr>
  </w:style>
  <w:style w:styleId="Style_16_ch" w:type="character">
    <w:name w:val="heading 5"/>
    <w:link w:val="Style_16"/>
    <w:rPr>
      <w:rFonts w:ascii="XO Thames" w:hAnsi="XO Thames"/>
      <w:b w:val="1"/>
      <w:sz w:val="22"/>
    </w:rPr>
  </w:style>
  <w:style w:styleId="Style_17" w:type="paragraph">
    <w:name w:val="Balloon Text"/>
    <w:basedOn w:val="Style_3"/>
    <w:link w:val="Style_17_ch"/>
    <w:pPr>
      <w:spacing w:after="0" w:line="240" w:lineRule="auto"/>
      <w:ind/>
      <w:jc w:val="left"/>
    </w:pPr>
    <w:rPr>
      <w:rFonts w:ascii="Segoe UI" w:hAnsi="Segoe UI"/>
      <w:sz w:val="18"/>
    </w:rPr>
  </w:style>
  <w:style w:styleId="Style_17_ch" w:type="character">
    <w:name w:val="Balloon Text"/>
    <w:basedOn w:val="Style_3_ch"/>
    <w:link w:val="Style_17"/>
    <w:rPr>
      <w:rFonts w:ascii="Segoe UI" w:hAnsi="Segoe UI"/>
      <w:sz w:val="18"/>
    </w:rPr>
  </w:style>
  <w:style w:styleId="Style_18" w:type="paragraph">
    <w:name w:val="heading 1"/>
    <w:next w:val="Style_3"/>
    <w:link w:val="Style_18_ch"/>
    <w:uiPriority w:val="9"/>
    <w:qFormat/>
    <w:pPr>
      <w:spacing w:after="120" w:before="120"/>
      <w:ind/>
      <w:jc w:val="both"/>
      <w:outlineLvl w:val="0"/>
    </w:pPr>
    <w:rPr>
      <w:rFonts w:ascii="XO Thames" w:hAnsi="XO Thames"/>
      <w:b w:val="1"/>
      <w:sz w:val="32"/>
    </w:rPr>
  </w:style>
  <w:style w:styleId="Style_18_ch" w:type="character">
    <w:name w:val="heading 1"/>
    <w:link w:val="Style_18"/>
    <w:rPr>
      <w:rFonts w:ascii="XO Thames" w:hAnsi="XO Thames"/>
      <w:b w:val="1"/>
      <w:sz w:val="32"/>
    </w:rPr>
  </w:style>
  <w:style w:styleId="Style_19" w:type="paragraph">
    <w:name w:val="Hyperlink"/>
    <w:link w:val="Style_19_ch"/>
    <w:rPr>
      <w:color w:val="0000FF"/>
      <w:u w:val="single"/>
    </w:rPr>
  </w:style>
  <w:style w:styleId="Style_19_ch" w:type="character">
    <w:name w:val="Hyperlink"/>
    <w:link w:val="Style_19"/>
    <w:rPr>
      <w:color w:val="0000FF"/>
      <w:u w:val="single"/>
    </w:rPr>
  </w:style>
  <w:style w:styleId="Style_20" w:type="paragraph">
    <w:name w:val="Footnote"/>
    <w:link w:val="Style_20_ch"/>
    <w:pPr>
      <w:ind w:firstLine="851" w:left="0"/>
      <w:jc w:val="both"/>
    </w:pPr>
    <w:rPr>
      <w:rFonts w:ascii="XO Thames" w:hAnsi="XO Thames"/>
      <w:sz w:val="22"/>
    </w:rPr>
  </w:style>
  <w:style w:styleId="Style_20_ch" w:type="character">
    <w:name w:val="Footnote"/>
    <w:link w:val="Style_20"/>
    <w:rPr>
      <w:rFonts w:ascii="XO Thames" w:hAnsi="XO Thames"/>
      <w:sz w:val="22"/>
    </w:rPr>
  </w:style>
  <w:style w:styleId="Style_21" w:type="paragraph">
    <w:name w:val="ConsPlusTitlePage"/>
    <w:link w:val="Style_21_ch"/>
    <w:pPr>
      <w:widowControl w:val="0"/>
      <w:ind w:firstLine="0" w:left="0" w:right="0"/>
      <w:jc w:val="left"/>
    </w:pPr>
    <w:rPr>
      <w:rFonts w:ascii="Tahoma" w:hAnsi="Tahoma"/>
      <w:sz w:val="24"/>
    </w:rPr>
  </w:style>
  <w:style w:styleId="Style_21_ch" w:type="character">
    <w:name w:val="ConsPlusTitlePage"/>
    <w:link w:val="Style_21"/>
    <w:rPr>
      <w:rFonts w:ascii="Tahoma" w:hAnsi="Tahoma"/>
      <w:sz w:val="24"/>
    </w:rPr>
  </w:style>
  <w:style w:styleId="Style_22" w:type="paragraph">
    <w:name w:val="toc 1"/>
    <w:next w:val="Style_3"/>
    <w:link w:val="Style_22_ch"/>
    <w:uiPriority w:val="39"/>
    <w:pPr>
      <w:ind w:firstLine="0" w:left="0"/>
      <w:jc w:val="left"/>
    </w:pPr>
    <w:rPr>
      <w:rFonts w:ascii="XO Thames" w:hAnsi="XO Thames"/>
      <w:b w:val="1"/>
      <w:sz w:val="28"/>
    </w:rPr>
  </w:style>
  <w:style w:styleId="Style_22_ch" w:type="character">
    <w:name w:val="toc 1"/>
    <w:link w:val="Style_22"/>
    <w:rPr>
      <w:rFonts w:ascii="XO Thames" w:hAnsi="XO Thames"/>
      <w:b w:val="1"/>
      <w:sz w:val="28"/>
    </w:rPr>
  </w:style>
  <w:style w:styleId="Style_23" w:type="paragraph">
    <w:name w:val="Header and Footer"/>
    <w:link w:val="Style_23_ch"/>
    <w:pPr>
      <w:spacing w:line="240" w:lineRule="auto"/>
      <w:ind/>
      <w:jc w:val="both"/>
    </w:pPr>
    <w:rPr>
      <w:rFonts w:ascii="XO Thames" w:hAnsi="XO Thames"/>
      <w:sz w:val="28"/>
    </w:rPr>
  </w:style>
  <w:style w:styleId="Style_23_ch" w:type="character">
    <w:name w:val="Header and Footer"/>
    <w:link w:val="Style_23"/>
    <w:rPr>
      <w:rFonts w:ascii="XO Thames" w:hAnsi="XO Thames"/>
      <w:sz w:val="28"/>
    </w:rPr>
  </w:style>
  <w:style w:styleId="Style_24" w:type="paragraph">
    <w:name w:val="ConsPlusNormal"/>
    <w:link w:val="Style_24_ch"/>
    <w:pPr>
      <w:widowControl w:val="0"/>
      <w:ind w:firstLine="0" w:left="0" w:right="0"/>
      <w:jc w:val="left"/>
    </w:pPr>
    <w:rPr>
      <w:sz w:val="24"/>
    </w:rPr>
  </w:style>
  <w:style w:styleId="Style_24_ch" w:type="character">
    <w:name w:val="ConsPlusNormal"/>
    <w:link w:val="Style_24"/>
    <w:rPr>
      <w:sz w:val="24"/>
    </w:rPr>
  </w:style>
  <w:style w:styleId="Style_25" w:type="paragraph">
    <w:name w:val="toc 9"/>
    <w:next w:val="Style_3"/>
    <w:link w:val="Style_25_ch"/>
    <w:uiPriority w:val="39"/>
    <w:pPr>
      <w:ind w:firstLine="0" w:left="1600"/>
      <w:jc w:val="left"/>
    </w:pPr>
    <w:rPr>
      <w:rFonts w:ascii="XO Thames" w:hAnsi="XO Thames"/>
      <w:sz w:val="28"/>
    </w:rPr>
  </w:style>
  <w:style w:styleId="Style_25_ch" w:type="character">
    <w:name w:val="toc 9"/>
    <w:link w:val="Style_25"/>
    <w:rPr>
      <w:rFonts w:ascii="XO Thames" w:hAnsi="XO Thames"/>
      <w:sz w:val="28"/>
    </w:rPr>
  </w:style>
  <w:style w:styleId="Style_26" w:type="paragraph">
    <w:name w:val="toc 8"/>
    <w:next w:val="Style_3"/>
    <w:link w:val="Style_26_ch"/>
    <w:uiPriority w:val="39"/>
    <w:pPr>
      <w:ind w:firstLine="0" w:left="1400"/>
      <w:jc w:val="left"/>
    </w:pPr>
    <w:rPr>
      <w:rFonts w:ascii="XO Thames" w:hAnsi="XO Thames"/>
      <w:sz w:val="28"/>
    </w:rPr>
  </w:style>
  <w:style w:styleId="Style_26_ch" w:type="character">
    <w:name w:val="toc 8"/>
    <w:link w:val="Style_26"/>
    <w:rPr>
      <w:rFonts w:ascii="XO Thames" w:hAnsi="XO Thames"/>
      <w:sz w:val="28"/>
    </w:rPr>
  </w:style>
  <w:style w:styleId="Style_27" w:type="paragraph">
    <w:name w:val="ConsPlusTextList"/>
    <w:link w:val="Style_27_ch"/>
    <w:pPr>
      <w:widowControl w:val="0"/>
      <w:ind w:firstLine="0" w:left="0" w:right="0"/>
      <w:jc w:val="left"/>
    </w:pPr>
    <w:rPr>
      <w:sz w:val="24"/>
    </w:rPr>
  </w:style>
  <w:style w:styleId="Style_27_ch" w:type="character">
    <w:name w:val="ConsPlusTextList"/>
    <w:link w:val="Style_27"/>
    <w:rPr>
      <w:sz w:val="24"/>
    </w:rPr>
  </w:style>
  <w:style w:styleId="Style_28" w:type="paragraph">
    <w:name w:val="toc 5"/>
    <w:next w:val="Style_3"/>
    <w:link w:val="Style_28_ch"/>
    <w:uiPriority w:val="39"/>
    <w:pPr>
      <w:ind w:firstLine="0" w:left="800"/>
      <w:jc w:val="left"/>
    </w:pPr>
    <w:rPr>
      <w:rFonts w:ascii="XO Thames" w:hAnsi="XO Thames"/>
      <w:sz w:val="28"/>
    </w:rPr>
  </w:style>
  <w:style w:styleId="Style_28_ch" w:type="character">
    <w:name w:val="toc 5"/>
    <w:link w:val="Style_28"/>
    <w:rPr>
      <w:rFonts w:ascii="XO Thames" w:hAnsi="XO Thames"/>
      <w:sz w:val="28"/>
    </w:rPr>
  </w:style>
  <w:style w:styleId="Style_29" w:type="paragraph">
    <w:name w:val="ConsPlusTextList1"/>
    <w:link w:val="Style_29_ch"/>
    <w:pPr>
      <w:widowControl w:val="0"/>
      <w:ind w:firstLine="0" w:left="0" w:right="0"/>
      <w:jc w:val="left"/>
    </w:pPr>
    <w:rPr>
      <w:sz w:val="24"/>
    </w:rPr>
  </w:style>
  <w:style w:styleId="Style_29_ch" w:type="character">
    <w:name w:val="ConsPlusTextList1"/>
    <w:link w:val="Style_29"/>
    <w:rPr>
      <w:sz w:val="24"/>
    </w:rPr>
  </w:style>
  <w:style w:styleId="Style_30" w:type="paragraph">
    <w:name w:val="ConsPlusCell"/>
    <w:link w:val="Style_30_ch"/>
    <w:pPr>
      <w:widowControl w:val="0"/>
      <w:ind w:firstLine="0" w:left="0" w:right="0"/>
      <w:jc w:val="left"/>
    </w:pPr>
    <w:rPr>
      <w:rFonts w:ascii="Courier New" w:hAnsi="Courier New"/>
      <w:sz w:val="20"/>
    </w:rPr>
  </w:style>
  <w:style w:styleId="Style_30_ch" w:type="character">
    <w:name w:val="ConsPlusCell"/>
    <w:link w:val="Style_30"/>
    <w:rPr>
      <w:rFonts w:ascii="Courier New" w:hAnsi="Courier New"/>
      <w:sz w:val="20"/>
    </w:rPr>
  </w:style>
  <w:style w:styleId="Style_31" w:type="paragraph">
    <w:name w:val="ConsPlusJurTerm"/>
    <w:link w:val="Style_31_ch"/>
    <w:pPr>
      <w:widowControl w:val="0"/>
      <w:ind w:firstLine="0" w:left="0" w:right="0"/>
      <w:jc w:val="left"/>
    </w:pPr>
    <w:rPr>
      <w:rFonts w:ascii="Tahoma" w:hAnsi="Tahoma"/>
      <w:sz w:val="26"/>
    </w:rPr>
  </w:style>
  <w:style w:styleId="Style_31_ch" w:type="character">
    <w:name w:val="ConsPlusJurTerm"/>
    <w:link w:val="Style_31"/>
    <w:rPr>
      <w:rFonts w:ascii="Tahoma" w:hAnsi="Tahoma"/>
      <w:sz w:val="26"/>
    </w:rPr>
  </w:style>
  <w:style w:styleId="Style_32" w:type="paragraph">
    <w:name w:val="Subtitle"/>
    <w:next w:val="Style_3"/>
    <w:link w:val="Style_32_ch"/>
    <w:uiPriority w:val="11"/>
    <w:qFormat/>
    <w:pPr>
      <w:ind/>
      <w:jc w:val="both"/>
    </w:pPr>
    <w:rPr>
      <w:rFonts w:ascii="XO Thames" w:hAnsi="XO Thames"/>
      <w:i w:val="1"/>
      <w:sz w:val="24"/>
    </w:rPr>
  </w:style>
  <w:style w:styleId="Style_32_ch" w:type="character">
    <w:name w:val="Subtitle"/>
    <w:link w:val="Style_32"/>
    <w:rPr>
      <w:rFonts w:ascii="XO Thames" w:hAnsi="XO Thames"/>
      <w:i w:val="1"/>
      <w:sz w:val="24"/>
    </w:rPr>
  </w:style>
  <w:style w:styleId="Style_1" w:type="paragraph">
    <w:name w:val="header"/>
    <w:basedOn w:val="Style_3"/>
    <w:link w:val="Style_1_ch"/>
    <w:pPr>
      <w:tabs>
        <w:tab w:leader="none" w:pos="4677" w:val="center"/>
        <w:tab w:leader="none" w:pos="9355" w:val="right"/>
      </w:tabs>
      <w:ind/>
      <w:jc w:val="left"/>
    </w:pPr>
  </w:style>
  <w:style w:styleId="Style_1_ch" w:type="character">
    <w:name w:val="header"/>
    <w:basedOn w:val="Style_3_ch"/>
    <w:link w:val="Style_1"/>
  </w:style>
  <w:style w:styleId="Style_33" w:type="paragraph">
    <w:name w:val="Title"/>
    <w:next w:val="Style_3"/>
    <w:link w:val="Style_33_ch"/>
    <w:uiPriority w:val="10"/>
    <w:qFormat/>
    <w:pPr>
      <w:spacing w:after="567" w:before="567"/>
      <w:ind/>
      <w:jc w:val="center"/>
    </w:pPr>
    <w:rPr>
      <w:rFonts w:ascii="XO Thames" w:hAnsi="XO Thames"/>
      <w:b w:val="1"/>
      <w:caps w:val="1"/>
      <w:sz w:val="40"/>
    </w:rPr>
  </w:style>
  <w:style w:styleId="Style_33_ch" w:type="character">
    <w:name w:val="Title"/>
    <w:link w:val="Style_33"/>
    <w:rPr>
      <w:rFonts w:ascii="XO Thames" w:hAnsi="XO Thames"/>
      <w:b w:val="1"/>
      <w:caps w:val="1"/>
      <w:sz w:val="40"/>
    </w:rPr>
  </w:style>
  <w:style w:styleId="Style_34" w:type="paragraph">
    <w:name w:val="heading 4"/>
    <w:next w:val="Style_3"/>
    <w:link w:val="Style_34_ch"/>
    <w:uiPriority w:val="9"/>
    <w:qFormat/>
    <w:pPr>
      <w:spacing w:after="120" w:before="120"/>
      <w:ind/>
      <w:jc w:val="both"/>
      <w:outlineLvl w:val="3"/>
    </w:pPr>
    <w:rPr>
      <w:rFonts w:ascii="XO Thames" w:hAnsi="XO Thames"/>
      <w:b w:val="1"/>
      <w:sz w:val="24"/>
    </w:rPr>
  </w:style>
  <w:style w:styleId="Style_34_ch" w:type="character">
    <w:name w:val="heading 4"/>
    <w:link w:val="Style_34"/>
    <w:rPr>
      <w:rFonts w:ascii="XO Thames" w:hAnsi="XO Thames"/>
      <w:b w:val="1"/>
      <w:sz w:val="24"/>
    </w:rPr>
  </w:style>
  <w:style w:styleId="Style_35" w:type="paragraph">
    <w:name w:val="heading 2"/>
    <w:next w:val="Style_3"/>
    <w:link w:val="Style_35_ch"/>
    <w:uiPriority w:val="9"/>
    <w:qFormat/>
    <w:pPr>
      <w:spacing w:after="120" w:before="120"/>
      <w:ind/>
      <w:jc w:val="both"/>
      <w:outlineLvl w:val="1"/>
    </w:pPr>
    <w:rPr>
      <w:rFonts w:ascii="XO Thames" w:hAnsi="XO Thames"/>
      <w:b w:val="1"/>
      <w:sz w:val="28"/>
    </w:rPr>
  </w:style>
  <w:style w:styleId="Style_35_ch" w:type="character">
    <w:name w:val="heading 2"/>
    <w:link w:val="Style_35"/>
    <w:rPr>
      <w:rFonts w:ascii="XO Thames" w:hAnsi="XO Thames"/>
      <w:b w:val="1"/>
      <w:sz w:val="28"/>
    </w:rPr>
  </w:style>
  <w:style w:styleId="Style_36" w:type="paragraph">
    <w:name w:val="msonormal"/>
    <w:basedOn w:val="Style_3"/>
    <w:link w:val="Style_36_ch"/>
    <w:pPr>
      <w:spacing w:afterAutospacing="on" w:beforeAutospacing="on" w:line="240" w:lineRule="auto"/>
      <w:ind/>
      <w:jc w:val="left"/>
    </w:pPr>
    <w:rPr>
      <w:rFonts w:ascii="Times New Roman" w:hAnsi="Times New Roman"/>
      <w:sz w:val="24"/>
    </w:rPr>
  </w:style>
  <w:style w:styleId="Style_36_ch" w:type="character">
    <w:name w:val="msonormal"/>
    <w:basedOn w:val="Style_3_ch"/>
    <w:link w:val="Style_36"/>
    <w:rPr>
      <w:rFonts w:ascii="Times New Roman" w:hAnsi="Times New Roman"/>
      <w:sz w:val="24"/>
    </w:rPr>
  </w:style>
  <w:style w:default="1" w:styleId="Style_37"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header1.xml" Type="http://schemas.openxmlformats.org/officeDocument/2006/relationships/header"/>
  <Relationship Id="rId2" Target="fontTable.xml" Type="http://schemas.openxmlformats.org/officeDocument/2006/relationships/fontTable"/>
  <Relationship Id="rId3" Target="settings.xml" Type="http://schemas.openxmlformats.org/officeDocument/2006/relationships/settings"/>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MyOffice-CoreFramework-Linux/31-1176.784.8785.803.1@b7d79ee91c0484ce8e5066dc862bfc403a32edb5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2025-12-08T03:03:00Z</dcterms:modified>
</cp:coreProperties>
</file>